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95" w:rsidRDefault="00403E95" w:rsidP="00403E95">
      <w:pPr>
        <w:pStyle w:val="Heading1"/>
        <w:rPr>
          <w:lang w:val="en-GB"/>
        </w:rPr>
      </w:pPr>
      <w:r>
        <w:rPr>
          <w:lang w:val="en-GB"/>
        </w:rPr>
        <w:t>Proposals to Implement an Africa RISING Ethiopian – Highlands Research Component</w:t>
      </w:r>
    </w:p>
    <w:p w:rsidR="00403E95" w:rsidRDefault="00403E95" w:rsidP="00403E95">
      <w:pPr>
        <w:pStyle w:val="Heading2"/>
        <w:rPr>
          <w:lang w:val="en-GB"/>
        </w:rPr>
      </w:pPr>
      <w:r>
        <w:rPr>
          <w:lang w:val="en-GB"/>
        </w:rPr>
        <w:t>Research Component</w:t>
      </w:r>
    </w:p>
    <w:p w:rsidR="00632285" w:rsidRPr="00A56EDC" w:rsidRDefault="00E1451B" w:rsidP="00632285">
      <w:pPr>
        <w:rPr>
          <w:lang w:val="en-GB"/>
        </w:rPr>
      </w:pPr>
      <w:r>
        <w:rPr>
          <w:lang w:val="en-GB"/>
        </w:rPr>
        <w:t xml:space="preserve">This proposal addresses Research Component </w:t>
      </w:r>
      <w:r w:rsidR="00692D71">
        <w:rPr>
          <w:lang w:val="en-GB"/>
        </w:rPr>
        <w:t>2</w:t>
      </w:r>
      <w:r>
        <w:rPr>
          <w:lang w:val="en-GB"/>
        </w:rPr>
        <w:t xml:space="preserve"> (RC</w:t>
      </w:r>
      <w:r w:rsidR="00692D71">
        <w:rPr>
          <w:lang w:val="en-GB"/>
        </w:rPr>
        <w:t>2</w:t>
      </w:r>
      <w:r>
        <w:rPr>
          <w:lang w:val="en-GB"/>
        </w:rPr>
        <w:t>). RC</w:t>
      </w:r>
      <w:r w:rsidR="00692D71">
        <w:rPr>
          <w:lang w:val="en-GB"/>
        </w:rPr>
        <w:t>2 will focus broadly on activities that are required to deliver action at a more integrated, community scale</w:t>
      </w:r>
      <w:r>
        <w:rPr>
          <w:lang w:val="en-GB"/>
        </w:rPr>
        <w:t>.</w:t>
      </w:r>
      <w:r w:rsidR="00692D71">
        <w:rPr>
          <w:lang w:val="en-GB"/>
        </w:rPr>
        <w:t xml:space="preserve"> Importantly, this will include exploiting the potential for peer-to-peer knowledge exchange within communities and on opportunities for strengthening and augmenting existing practises with external innovation.</w:t>
      </w:r>
      <w:r w:rsidR="00F322C1">
        <w:rPr>
          <w:lang w:val="en-GB"/>
        </w:rPr>
        <w:t xml:space="preserve"> The three</w:t>
      </w:r>
      <w:r>
        <w:rPr>
          <w:lang w:val="en-GB"/>
        </w:rPr>
        <w:t xml:space="preserve"> key deliverables are:</w:t>
      </w:r>
    </w:p>
    <w:p w:rsidR="003175DB" w:rsidRDefault="00B908AC" w:rsidP="003175D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Bio-physical and socio-economic benchmarks</w:t>
      </w:r>
    </w:p>
    <w:p w:rsidR="00B908AC" w:rsidRDefault="00B908AC" w:rsidP="003175D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Community knowledge exchange groups</w:t>
      </w:r>
      <w:r w:rsidR="00CB419B">
        <w:rPr>
          <w:lang w:val="en-GB"/>
        </w:rPr>
        <w:t xml:space="preserve"> (CKEGs)</w:t>
      </w:r>
    </w:p>
    <w:p w:rsidR="00B908AC" w:rsidRDefault="00B908AC" w:rsidP="003175D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Opportunities for scaling innovation (endogenous and exogenous)</w:t>
      </w:r>
    </w:p>
    <w:p w:rsidR="00403E95" w:rsidRDefault="00403E95" w:rsidP="00403E95">
      <w:pPr>
        <w:pStyle w:val="Heading2"/>
        <w:rPr>
          <w:lang w:val="en-GB"/>
        </w:rPr>
      </w:pPr>
      <w:r>
        <w:rPr>
          <w:lang w:val="en-GB"/>
        </w:rPr>
        <w:t>Partnerships</w:t>
      </w:r>
    </w:p>
    <w:p w:rsidR="00632A0C" w:rsidRDefault="00B908AC" w:rsidP="00997E0E">
      <w:pPr>
        <w:rPr>
          <w:lang w:val="en-GB"/>
        </w:rPr>
      </w:pPr>
      <w:r>
        <w:rPr>
          <w:b/>
          <w:lang w:val="en-GB"/>
        </w:rPr>
        <w:t>ICRAF</w:t>
      </w:r>
      <w:r w:rsidR="00632A0C" w:rsidRPr="00726811">
        <w:rPr>
          <w:b/>
          <w:lang w:val="en-GB"/>
        </w:rPr>
        <w:t xml:space="preserve"> (lead)</w:t>
      </w:r>
      <w:r w:rsidR="00632A0C">
        <w:rPr>
          <w:lang w:val="en-GB"/>
        </w:rPr>
        <w:t xml:space="preserve">: </w:t>
      </w:r>
      <w:r w:rsidR="00BD18E6">
        <w:rPr>
          <w:lang w:val="en-GB"/>
        </w:rPr>
        <w:t>E</w:t>
      </w:r>
      <w:r w:rsidR="00632A0C">
        <w:rPr>
          <w:lang w:val="en-GB"/>
        </w:rPr>
        <w:t xml:space="preserve">xpertise in the </w:t>
      </w:r>
      <w:r>
        <w:rPr>
          <w:lang w:val="en-GB"/>
        </w:rPr>
        <w:t>collection, formalisation and interpretation of indigenous technical knowledge.</w:t>
      </w:r>
      <w:r w:rsidR="00632A0C">
        <w:rPr>
          <w:lang w:val="en-GB"/>
        </w:rPr>
        <w:t xml:space="preserve"> </w:t>
      </w:r>
      <w:proofErr w:type="gramStart"/>
      <w:r w:rsidR="001C1E8A">
        <w:rPr>
          <w:lang w:val="en-GB"/>
        </w:rPr>
        <w:t>Building participatory institutions within communities.</w:t>
      </w:r>
      <w:proofErr w:type="gramEnd"/>
    </w:p>
    <w:p w:rsidR="00913E5A" w:rsidRDefault="00B908AC" w:rsidP="00997E0E">
      <w:pPr>
        <w:rPr>
          <w:lang w:val="en-GB"/>
        </w:rPr>
      </w:pPr>
      <w:r w:rsidRPr="00CB419B">
        <w:rPr>
          <w:b/>
          <w:lang w:val="en-GB"/>
        </w:rPr>
        <w:t>ILRI</w:t>
      </w:r>
      <w:r w:rsidR="00913E5A">
        <w:rPr>
          <w:lang w:val="en-GB"/>
        </w:rPr>
        <w:t xml:space="preserve">: </w:t>
      </w:r>
      <w:r w:rsidR="001C1E8A">
        <w:rPr>
          <w:lang w:val="en-GB"/>
        </w:rPr>
        <w:t>Building parti</w:t>
      </w:r>
      <w:bookmarkStart w:id="0" w:name="_GoBack"/>
      <w:bookmarkEnd w:id="0"/>
      <w:r w:rsidR="001C1E8A">
        <w:rPr>
          <w:lang w:val="en-GB"/>
        </w:rPr>
        <w:t>cipatory institutions within communities.</w:t>
      </w:r>
      <w:r w:rsidR="001C1E8A">
        <w:rPr>
          <w:lang w:val="en-GB"/>
        </w:rPr>
        <w:t xml:space="preserve"> </w:t>
      </w:r>
      <w:proofErr w:type="gramStart"/>
      <w:r w:rsidR="00AA4144">
        <w:rPr>
          <w:lang w:val="en-GB"/>
        </w:rPr>
        <w:t xml:space="preserve">Use of benchmarking in CKEGs; </w:t>
      </w:r>
      <w:r>
        <w:rPr>
          <w:lang w:val="en-GB"/>
        </w:rPr>
        <w:t>Gender analysis</w:t>
      </w:r>
      <w:r>
        <w:rPr>
          <w:rStyle w:val="FootnoteReference"/>
          <w:lang w:val="en-GB"/>
        </w:rPr>
        <w:footnoteReference w:id="1"/>
      </w:r>
      <w:r w:rsidR="00AA4144">
        <w:rPr>
          <w:lang w:val="en-GB"/>
        </w:rPr>
        <w:t>.</w:t>
      </w:r>
      <w:proofErr w:type="gramEnd"/>
    </w:p>
    <w:p w:rsidR="002F56E7" w:rsidRPr="00726811" w:rsidRDefault="002F56E7" w:rsidP="00632285">
      <w:pPr>
        <w:rPr>
          <w:rFonts w:cstheme="minorHAnsi"/>
          <w:lang w:val="en-GB"/>
        </w:rPr>
      </w:pPr>
      <w:r w:rsidRPr="002F56E7">
        <w:rPr>
          <w:rFonts w:cstheme="minorHAnsi"/>
          <w:b/>
          <w:lang w:val="en-GB"/>
        </w:rPr>
        <w:t>National Partners</w:t>
      </w:r>
      <w:r>
        <w:rPr>
          <w:rFonts w:cstheme="minorHAnsi"/>
          <w:lang w:val="en-GB"/>
        </w:rPr>
        <w:t>: Community engagement; past experience in the use of diagnostic approaches and tools.</w:t>
      </w:r>
    </w:p>
    <w:p w:rsidR="00403E95" w:rsidRDefault="00403E95" w:rsidP="00403E95">
      <w:pPr>
        <w:pStyle w:val="Heading2"/>
        <w:rPr>
          <w:lang w:val="en-GB"/>
        </w:rPr>
      </w:pPr>
      <w:r>
        <w:rPr>
          <w:lang w:val="en-GB"/>
        </w:rPr>
        <w:t>Research Questions / Hypotheses Addressed</w:t>
      </w:r>
    </w:p>
    <w:p w:rsidR="00BD28B4" w:rsidRPr="00653224" w:rsidRDefault="00BD28B4" w:rsidP="00403E95">
      <w:pPr>
        <w:rPr>
          <w:b/>
          <w:lang w:val="en-GB"/>
        </w:rPr>
      </w:pPr>
      <w:r w:rsidRPr="00653224">
        <w:rPr>
          <w:b/>
          <w:lang w:val="en-GB"/>
        </w:rPr>
        <w:t>Research Questions</w:t>
      </w:r>
    </w:p>
    <w:p w:rsidR="00BD28B4" w:rsidRPr="005E5E70" w:rsidRDefault="00F322C1" w:rsidP="005E5E7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What benchmarks are appropriate for </w:t>
      </w:r>
      <w:r w:rsidR="00BD28B4" w:rsidRPr="005E5E70">
        <w:rPr>
          <w:lang w:val="en-GB"/>
        </w:rPr>
        <w:t>meet</w:t>
      </w:r>
      <w:r>
        <w:rPr>
          <w:lang w:val="en-GB"/>
        </w:rPr>
        <w:t>ing</w:t>
      </w:r>
      <w:r w:rsidR="00BD28B4" w:rsidRPr="005E5E70">
        <w:rPr>
          <w:lang w:val="en-GB"/>
        </w:rPr>
        <w:t xml:space="preserve"> the needs of monitoring progress towards AR-EH / </w:t>
      </w:r>
      <w:proofErr w:type="spellStart"/>
      <w:r w:rsidR="00BD28B4" w:rsidRPr="005E5E70">
        <w:rPr>
          <w:lang w:val="en-GB"/>
        </w:rPr>
        <w:t>FtF</w:t>
      </w:r>
      <w:proofErr w:type="spellEnd"/>
      <w:r w:rsidR="00BD28B4" w:rsidRPr="005E5E70">
        <w:rPr>
          <w:lang w:val="en-GB"/>
        </w:rPr>
        <w:t xml:space="preserve"> development outcomes</w:t>
      </w:r>
      <w:r w:rsidR="00B65278">
        <w:rPr>
          <w:lang w:val="en-GB"/>
        </w:rPr>
        <w:t xml:space="preserve"> at the household level</w:t>
      </w:r>
      <w:r w:rsidR="00982D29" w:rsidRPr="005E5E70">
        <w:rPr>
          <w:lang w:val="en-GB"/>
        </w:rPr>
        <w:t>?</w:t>
      </w:r>
    </w:p>
    <w:p w:rsidR="00BD28B4" w:rsidRDefault="00F322C1" w:rsidP="005E5E7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How can CKEGs be constituted to make the best use of knowledge that already exists within communities and to act as a platform for the acquisition and application of new knowledge?</w:t>
      </w:r>
    </w:p>
    <w:p w:rsidR="00AA4144" w:rsidRPr="005E5E70" w:rsidRDefault="00AA4144" w:rsidP="005E5E7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How can gender equity be properly ensured in the formation and operation of </w:t>
      </w:r>
      <w:proofErr w:type="gramStart"/>
      <w:r>
        <w:rPr>
          <w:lang w:val="en-GB"/>
        </w:rPr>
        <w:t>CKEGs.</w:t>
      </w:r>
      <w:proofErr w:type="gramEnd"/>
    </w:p>
    <w:p w:rsidR="00FD39A4" w:rsidRPr="005E5E70" w:rsidRDefault="00F322C1" w:rsidP="005E5E7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How can communities be organised to capitalise on a range of opportunities for scaling innovation in ways that are both equitably targeted and cost effective</w:t>
      </w:r>
      <w:r w:rsidR="00FD39A4" w:rsidRPr="005E5E70">
        <w:rPr>
          <w:lang w:val="en-GB"/>
        </w:rPr>
        <w:t>?</w:t>
      </w:r>
    </w:p>
    <w:p w:rsidR="00BD28B4" w:rsidRPr="00653224" w:rsidRDefault="00BD28B4" w:rsidP="00BD28B4">
      <w:pPr>
        <w:rPr>
          <w:b/>
          <w:lang w:val="en-GB"/>
        </w:rPr>
      </w:pPr>
      <w:r w:rsidRPr="00653224">
        <w:rPr>
          <w:b/>
          <w:lang w:val="en-GB"/>
        </w:rPr>
        <w:t>Hypotheses</w:t>
      </w:r>
    </w:p>
    <w:p w:rsidR="00FD39A4" w:rsidRDefault="00B65278" w:rsidP="005314D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Based on proper characterisation and stratification (RC1), it is possible to constructs cost-effective suites of benchmarks that are effective sources of knowledge for </w:t>
      </w:r>
      <w:proofErr w:type="gramStart"/>
      <w:r>
        <w:rPr>
          <w:lang w:val="en-GB"/>
        </w:rPr>
        <w:t>communities,</w:t>
      </w:r>
      <w:proofErr w:type="gramEnd"/>
      <w:r>
        <w:rPr>
          <w:lang w:val="en-GB"/>
        </w:rPr>
        <w:t xml:space="preserve"> they can underpin meaningful M and E and do not require exhaustive and expensive household surveys.</w:t>
      </w:r>
    </w:p>
    <w:p w:rsidR="00B65278" w:rsidRDefault="00B65278" w:rsidP="005314D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Effective sharing of existing knowledge within communities through CKEGs can be effective in generating development outcomes before exogenous innovation is brought into play.</w:t>
      </w:r>
    </w:p>
    <w:p w:rsidR="00B65278" w:rsidRDefault="00B65278" w:rsidP="005314D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CKEGs can also form a strong platform for the introduction and integration of exogenous technologies.</w:t>
      </w:r>
    </w:p>
    <w:p w:rsidR="00B65278" w:rsidRPr="005314D4" w:rsidRDefault="00B65278" w:rsidP="005314D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 balanced analysis of endogenous and exogenous opportunities that focus on bottom-up integration rather than top-down introduction is a more effective mechanism for implementing sustainable intensification at a household level.</w:t>
      </w:r>
    </w:p>
    <w:p w:rsidR="00403E95" w:rsidRDefault="00403E95" w:rsidP="00403E95">
      <w:pPr>
        <w:pStyle w:val="Heading2"/>
        <w:rPr>
          <w:lang w:val="en-GB"/>
        </w:rPr>
      </w:pPr>
      <w:r>
        <w:rPr>
          <w:lang w:val="en-GB"/>
        </w:rPr>
        <w:lastRenderedPageBreak/>
        <w:t>Approach</w:t>
      </w:r>
    </w:p>
    <w:p w:rsidR="00936D87" w:rsidRPr="00D413F0" w:rsidRDefault="00CB419B" w:rsidP="00403E95">
      <w:pPr>
        <w:rPr>
          <w:b/>
          <w:lang w:val="en-GB"/>
        </w:rPr>
      </w:pPr>
      <w:r>
        <w:rPr>
          <w:b/>
          <w:lang w:val="en-GB"/>
        </w:rPr>
        <w:t>Bio-physical and socio-economic benchmarks</w:t>
      </w:r>
    </w:p>
    <w:p w:rsidR="00CB419B" w:rsidRDefault="00CB419B" w:rsidP="00D413F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Collate all the benchmarking data gathered under RC1 and develop a suite of benchmarks that addresses</w:t>
      </w:r>
      <w:r w:rsidRPr="005E5E70">
        <w:rPr>
          <w:lang w:val="en-GB"/>
        </w:rPr>
        <w:t xml:space="preserve"> the needs of monitoring progress towards AR-EH / </w:t>
      </w:r>
      <w:proofErr w:type="spellStart"/>
      <w:r w:rsidRPr="005E5E70">
        <w:rPr>
          <w:lang w:val="en-GB"/>
        </w:rPr>
        <w:t>FtF</w:t>
      </w:r>
      <w:proofErr w:type="spellEnd"/>
      <w:r w:rsidRPr="005E5E70">
        <w:rPr>
          <w:lang w:val="en-GB"/>
        </w:rPr>
        <w:t xml:space="preserve"> development outcomes</w:t>
      </w:r>
      <w:r>
        <w:rPr>
          <w:lang w:val="en-GB"/>
        </w:rPr>
        <w:t>.</w:t>
      </w:r>
    </w:p>
    <w:p w:rsidR="00CB419B" w:rsidRDefault="00CB419B" w:rsidP="00D413F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Develop and test approaches for actively using benchmarks to inform discussion in CKEGs.</w:t>
      </w:r>
    </w:p>
    <w:p w:rsidR="00FF18D9" w:rsidRDefault="00CB419B" w:rsidP="00D413F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Establish monitoring processes based on the suite of benchmarks selected.</w:t>
      </w:r>
    </w:p>
    <w:p w:rsidR="00936D87" w:rsidRPr="00D413F0" w:rsidRDefault="00936D87" w:rsidP="00403E95">
      <w:pPr>
        <w:rPr>
          <w:b/>
          <w:lang w:val="en-GB"/>
        </w:rPr>
      </w:pPr>
      <w:r w:rsidRPr="00D413F0">
        <w:rPr>
          <w:b/>
          <w:lang w:val="en-GB"/>
        </w:rPr>
        <w:t>C</w:t>
      </w:r>
      <w:r w:rsidR="00B908AC">
        <w:rPr>
          <w:b/>
          <w:lang w:val="en-GB"/>
        </w:rPr>
        <w:t>ommunity knowledge exchange groups</w:t>
      </w:r>
    </w:p>
    <w:p w:rsidR="00FF18D9" w:rsidRDefault="00CB419B" w:rsidP="00D413F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Establish CKEGs based on equitable gender participation and the opportunities for knowledge transfer amongst strata.</w:t>
      </w:r>
    </w:p>
    <w:p w:rsidR="00CB419B" w:rsidRDefault="00CB419B" w:rsidP="00D413F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Develop and test participatory approaches for peer-to-peer benchmarking as a driver of knowledge transfer.</w:t>
      </w:r>
    </w:p>
    <w:p w:rsidR="00CB419B" w:rsidRDefault="00CB419B" w:rsidP="00D413F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Develop and test approaches that would allow CKEGs to participate in driving research priorities for AR-EH.</w:t>
      </w:r>
    </w:p>
    <w:p w:rsidR="00936D87" w:rsidRPr="00D413F0" w:rsidRDefault="00B908AC" w:rsidP="00403E95">
      <w:pPr>
        <w:rPr>
          <w:b/>
          <w:lang w:val="en-GB"/>
        </w:rPr>
      </w:pPr>
      <w:r>
        <w:rPr>
          <w:b/>
          <w:lang w:val="en-GB"/>
        </w:rPr>
        <w:t>Opportunities for scaling innovation</w:t>
      </w:r>
    </w:p>
    <w:p w:rsidR="00FF18D9" w:rsidRDefault="00B908AC" w:rsidP="00D413F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Identification of barriers to wider adoption of current practises within the community.</w:t>
      </w:r>
    </w:p>
    <w:p w:rsidR="00B908AC" w:rsidRDefault="00B908AC" w:rsidP="00B908AC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Identification of solutions for lifting these barriers where feasible</w:t>
      </w:r>
      <w:r w:rsidR="00FF18D9">
        <w:rPr>
          <w:lang w:val="en-GB"/>
        </w:rPr>
        <w:t>.</w:t>
      </w:r>
    </w:p>
    <w:p w:rsidR="00B908AC" w:rsidRPr="00B908AC" w:rsidRDefault="00B908AC" w:rsidP="00B908AC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Identification of entry points for exogenous technologies and management practices.</w:t>
      </w:r>
    </w:p>
    <w:p w:rsidR="00403E95" w:rsidRDefault="00403E95" w:rsidP="00B908AC">
      <w:pPr>
        <w:pStyle w:val="Heading2"/>
        <w:rPr>
          <w:lang w:val="en-GB"/>
        </w:rPr>
      </w:pPr>
      <w:r>
        <w:rPr>
          <w:lang w:val="en-GB"/>
        </w:rPr>
        <w:t>Linkages</w:t>
      </w:r>
    </w:p>
    <w:p w:rsidR="008922F0" w:rsidRPr="00653224" w:rsidRDefault="008922F0" w:rsidP="00403E95">
      <w:pPr>
        <w:rPr>
          <w:b/>
          <w:lang w:val="en-GB"/>
        </w:rPr>
      </w:pPr>
      <w:r w:rsidRPr="00653224">
        <w:rPr>
          <w:b/>
          <w:lang w:val="en-GB"/>
        </w:rPr>
        <w:t>Outgoing</w:t>
      </w:r>
    </w:p>
    <w:p w:rsidR="00AC74B0" w:rsidRPr="00653224" w:rsidRDefault="00B908AC" w:rsidP="0065322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Opportunities for scaling will drive the implementation of research into scaling practices conducted under RC6</w:t>
      </w:r>
    </w:p>
    <w:p w:rsidR="00632285" w:rsidRPr="00653224" w:rsidRDefault="008922F0" w:rsidP="00403E95">
      <w:pPr>
        <w:rPr>
          <w:b/>
          <w:lang w:val="en-GB"/>
        </w:rPr>
      </w:pPr>
      <w:r w:rsidRPr="00653224">
        <w:rPr>
          <w:b/>
          <w:lang w:val="en-GB"/>
        </w:rPr>
        <w:t>Incoming</w:t>
      </w:r>
    </w:p>
    <w:p w:rsidR="005314D4" w:rsidRDefault="005314D4" w:rsidP="00632285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RC1 study of sources of technologies will provide valuable information for defining opportunities for scaling under RC2.</w:t>
      </w:r>
    </w:p>
    <w:p w:rsidR="00CB419B" w:rsidRDefault="00CB419B" w:rsidP="00632285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RC2 will make use of the characterisation and stratification data from RC1 to build robust benchmarks to underpin future monitoring of progress and outcomes.</w:t>
      </w:r>
    </w:p>
    <w:p w:rsidR="00CB419B" w:rsidRDefault="00CB419B" w:rsidP="00632285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stratifications from RC1 will also be used to establish representative community knowledge exchange groups.</w:t>
      </w:r>
    </w:p>
    <w:p w:rsidR="00B908AC" w:rsidRDefault="00B908AC" w:rsidP="00632285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RC5 will feedback tested technologies and management practices into the scaling opportunities deliverable of RC2.</w:t>
      </w:r>
    </w:p>
    <w:p w:rsidR="00403E95" w:rsidRDefault="00403E95" w:rsidP="00403E95">
      <w:pPr>
        <w:pStyle w:val="Heading2"/>
        <w:rPr>
          <w:lang w:val="en-GB"/>
        </w:rPr>
      </w:pPr>
      <w:r>
        <w:rPr>
          <w:lang w:val="en-GB"/>
        </w:rPr>
        <w:t>Budget</w:t>
      </w:r>
    </w:p>
    <w:p w:rsidR="00403E95" w:rsidRDefault="008C2B88" w:rsidP="00403E95">
      <w:pPr>
        <w:rPr>
          <w:lang w:val="en-GB"/>
        </w:rPr>
      </w:pPr>
      <w:r>
        <w:rPr>
          <w:lang w:val="en-GB"/>
        </w:rPr>
        <w:t xml:space="preserve">c. </w:t>
      </w:r>
      <w:r w:rsidR="00CB419B">
        <w:rPr>
          <w:lang w:val="en-GB"/>
        </w:rPr>
        <w:t>$2</w:t>
      </w:r>
      <w:r w:rsidR="00635AF4">
        <w:rPr>
          <w:lang w:val="en-GB"/>
        </w:rPr>
        <w:t>0</w:t>
      </w:r>
      <w:r w:rsidR="00FE36E3">
        <w:rPr>
          <w:lang w:val="en-GB"/>
        </w:rPr>
        <w:t>0 000</w:t>
      </w:r>
      <w:r w:rsidR="005220B6">
        <w:rPr>
          <w:lang w:val="en-GB"/>
        </w:rPr>
        <w:t>.</w:t>
      </w:r>
    </w:p>
    <w:p w:rsidR="00403E95" w:rsidRPr="00083A51" w:rsidRDefault="00403E95" w:rsidP="00403E95">
      <w:pPr>
        <w:jc w:val="center"/>
        <w:rPr>
          <w:lang w:val="en-GB"/>
        </w:rPr>
      </w:pPr>
    </w:p>
    <w:p w:rsidR="005F508C" w:rsidRDefault="005F508C"/>
    <w:sectPr w:rsidR="005F508C" w:rsidSect="003638EC">
      <w:pgSz w:w="11907" w:h="16839" w:code="9"/>
      <w:pgMar w:top="1191" w:right="1077" w:bottom="1191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27" w:rsidRDefault="00F53727" w:rsidP="00482371">
      <w:pPr>
        <w:spacing w:after="0" w:line="240" w:lineRule="auto"/>
      </w:pPr>
      <w:r>
        <w:separator/>
      </w:r>
    </w:p>
  </w:endnote>
  <w:endnote w:type="continuationSeparator" w:id="0">
    <w:p w:rsidR="00F53727" w:rsidRDefault="00F53727" w:rsidP="0048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27" w:rsidRDefault="00F53727" w:rsidP="00482371">
      <w:pPr>
        <w:spacing w:after="0" w:line="240" w:lineRule="auto"/>
      </w:pPr>
      <w:r>
        <w:separator/>
      </w:r>
    </w:p>
  </w:footnote>
  <w:footnote w:type="continuationSeparator" w:id="0">
    <w:p w:rsidR="00F53727" w:rsidRDefault="00F53727" w:rsidP="00482371">
      <w:pPr>
        <w:spacing w:after="0" w:line="240" w:lineRule="auto"/>
      </w:pPr>
      <w:r>
        <w:continuationSeparator/>
      </w:r>
    </w:p>
  </w:footnote>
  <w:footnote w:id="1">
    <w:p w:rsidR="00B908AC" w:rsidRPr="00936D87" w:rsidRDefault="00B908AC" w:rsidP="00B908AC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- We are hoping to strengthen the gender focus of RC</w:t>
      </w:r>
      <w:r>
        <w:rPr>
          <w:lang w:val="en-GB"/>
        </w:rPr>
        <w:t>2</w:t>
      </w:r>
      <w:r>
        <w:rPr>
          <w:lang w:val="en-GB"/>
        </w:rPr>
        <w:t xml:space="preserve"> in particular and AR-EH in general with inputs from a post-doctoral scientist with 50 </w:t>
      </w:r>
      <w:r w:rsidRPr="00936D87">
        <w:rPr>
          <w:i/>
          <w:lang w:val="en-GB"/>
        </w:rPr>
        <w:t>per cent</w:t>
      </w:r>
      <w:r>
        <w:rPr>
          <w:i/>
          <w:lang w:val="en-GB"/>
        </w:rPr>
        <w:t xml:space="preserve"> </w:t>
      </w:r>
      <w:r w:rsidRPr="00936D87">
        <w:rPr>
          <w:lang w:val="en-GB"/>
        </w:rPr>
        <w:t>of their time dedicated to the project (</w:t>
      </w:r>
      <w:r w:rsidRPr="00653224">
        <w:rPr>
          <w:lang w:val="en-GB"/>
        </w:rPr>
        <w:t>to be recruited</w:t>
      </w:r>
      <w:r>
        <w:rPr>
          <w:lang w:val="en-GB"/>
        </w:rPr>
        <w:t xml:space="preserve"> by ILRI’s Poverty, Gender and Impacts Team)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60EE1"/>
    <w:multiLevelType w:val="hybridMultilevel"/>
    <w:tmpl w:val="F156FA3C"/>
    <w:lvl w:ilvl="0" w:tplc="62FA9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E232DC"/>
    <w:multiLevelType w:val="hybridMultilevel"/>
    <w:tmpl w:val="C0F034D2"/>
    <w:lvl w:ilvl="0" w:tplc="62FA9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2F35E2"/>
    <w:multiLevelType w:val="hybridMultilevel"/>
    <w:tmpl w:val="047C80F4"/>
    <w:lvl w:ilvl="0" w:tplc="62FA9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95"/>
    <w:rsid w:val="00154FBE"/>
    <w:rsid w:val="001C1E8A"/>
    <w:rsid w:val="002809FE"/>
    <w:rsid w:val="002F56E7"/>
    <w:rsid w:val="003175DB"/>
    <w:rsid w:val="00350DB9"/>
    <w:rsid w:val="00403E95"/>
    <w:rsid w:val="004053FC"/>
    <w:rsid w:val="00432CB7"/>
    <w:rsid w:val="00443DD3"/>
    <w:rsid w:val="0047660C"/>
    <w:rsid w:val="00482371"/>
    <w:rsid w:val="004A08FE"/>
    <w:rsid w:val="004C3EBF"/>
    <w:rsid w:val="004E037C"/>
    <w:rsid w:val="005220B6"/>
    <w:rsid w:val="005314D4"/>
    <w:rsid w:val="00541838"/>
    <w:rsid w:val="005E5E70"/>
    <w:rsid w:val="005F508C"/>
    <w:rsid w:val="00632285"/>
    <w:rsid w:val="00632A0C"/>
    <w:rsid w:val="00635AF4"/>
    <w:rsid w:val="00653224"/>
    <w:rsid w:val="00692D71"/>
    <w:rsid w:val="006B4795"/>
    <w:rsid w:val="006F0D2B"/>
    <w:rsid w:val="00726811"/>
    <w:rsid w:val="008765E8"/>
    <w:rsid w:val="0087786A"/>
    <w:rsid w:val="008922F0"/>
    <w:rsid w:val="008C2B88"/>
    <w:rsid w:val="008C6A58"/>
    <w:rsid w:val="008E2917"/>
    <w:rsid w:val="00913E5A"/>
    <w:rsid w:val="00936D87"/>
    <w:rsid w:val="00982D29"/>
    <w:rsid w:val="00997E0E"/>
    <w:rsid w:val="009A3088"/>
    <w:rsid w:val="00A16568"/>
    <w:rsid w:val="00AA4144"/>
    <w:rsid w:val="00AC74B0"/>
    <w:rsid w:val="00B65278"/>
    <w:rsid w:val="00B908AC"/>
    <w:rsid w:val="00BC7CC6"/>
    <w:rsid w:val="00BD18E6"/>
    <w:rsid w:val="00BD28B4"/>
    <w:rsid w:val="00C57E22"/>
    <w:rsid w:val="00CB419B"/>
    <w:rsid w:val="00D413F0"/>
    <w:rsid w:val="00D44F65"/>
    <w:rsid w:val="00DA0C65"/>
    <w:rsid w:val="00DC7289"/>
    <w:rsid w:val="00E1451B"/>
    <w:rsid w:val="00ED3A84"/>
    <w:rsid w:val="00F03EF7"/>
    <w:rsid w:val="00F322C1"/>
    <w:rsid w:val="00F53727"/>
    <w:rsid w:val="00F67002"/>
    <w:rsid w:val="00FD39A4"/>
    <w:rsid w:val="00FE36E3"/>
    <w:rsid w:val="00FF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E9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3E95"/>
    <w:pPr>
      <w:keepNext/>
      <w:keepLines/>
      <w:spacing w:before="480" w:after="0"/>
      <w:outlineLvl w:val="0"/>
    </w:pPr>
    <w:rPr>
      <w:rFonts w:ascii="Maiandra GD" w:eastAsiaTheme="majorEastAsia" w:hAnsi="Maiandra G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E95"/>
    <w:pPr>
      <w:keepNext/>
      <w:keepLines/>
      <w:spacing w:before="200" w:after="0"/>
      <w:outlineLvl w:val="1"/>
    </w:pPr>
    <w:rPr>
      <w:rFonts w:ascii="Maiandra GD" w:eastAsiaTheme="majorEastAsia" w:hAnsi="Maiandra G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E95"/>
    <w:rPr>
      <w:rFonts w:ascii="Maiandra GD" w:eastAsiaTheme="majorEastAsia" w:hAnsi="Maiandra GD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03E95"/>
    <w:rPr>
      <w:rFonts w:ascii="Maiandra GD" w:eastAsiaTheme="majorEastAsia" w:hAnsi="Maiandra GD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DC72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30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7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7C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CC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7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7CC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CC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23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371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823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E9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3E95"/>
    <w:pPr>
      <w:keepNext/>
      <w:keepLines/>
      <w:spacing w:before="480" w:after="0"/>
      <w:outlineLvl w:val="0"/>
    </w:pPr>
    <w:rPr>
      <w:rFonts w:ascii="Maiandra GD" w:eastAsiaTheme="majorEastAsia" w:hAnsi="Maiandra G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E95"/>
    <w:pPr>
      <w:keepNext/>
      <w:keepLines/>
      <w:spacing w:before="200" w:after="0"/>
      <w:outlineLvl w:val="1"/>
    </w:pPr>
    <w:rPr>
      <w:rFonts w:ascii="Maiandra GD" w:eastAsiaTheme="majorEastAsia" w:hAnsi="Maiandra G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E95"/>
    <w:rPr>
      <w:rFonts w:ascii="Maiandra GD" w:eastAsiaTheme="majorEastAsia" w:hAnsi="Maiandra GD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03E95"/>
    <w:rPr>
      <w:rFonts w:ascii="Maiandra GD" w:eastAsiaTheme="majorEastAsia" w:hAnsi="Maiandra GD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DC72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30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7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7C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CC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7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7CC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CC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23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371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823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E2113-20BE-4247-B225-9E47070C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</dc:creator>
  <cp:lastModifiedBy>Thorne, Peter (ILRI)</cp:lastModifiedBy>
  <cp:revision>8</cp:revision>
  <cp:lastPrinted>2012-11-07T12:29:00Z</cp:lastPrinted>
  <dcterms:created xsi:type="dcterms:W3CDTF">2012-11-11T08:38:00Z</dcterms:created>
  <dcterms:modified xsi:type="dcterms:W3CDTF">2012-11-11T09:21:00Z</dcterms:modified>
</cp:coreProperties>
</file>